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036F" w:rsidRPr="00E7036F">
        <w:rPr>
          <w:rFonts w:ascii="Times New Roman" w:hAnsi="Times New Roman"/>
          <w:sz w:val="28"/>
          <w:szCs w:val="28"/>
        </w:rPr>
        <w:t xml:space="preserve"> </w:t>
      </w:r>
      <w:r w:rsidR="00ED0C31" w:rsidRPr="00ED0C31">
        <w:rPr>
          <w:rFonts w:ascii="Times New Roman" w:hAnsi="Times New Roman"/>
          <w:sz w:val="28"/>
          <w:szCs w:val="28"/>
        </w:rPr>
        <w:t>RORS00307/GHZr/TD3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3415AA" w:rsidRPr="003415AA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General Hospital ”</w:t>
      </w:r>
      <w:r w:rsidR="006E441D">
        <w:rPr>
          <w:rFonts w:ascii="Times New Roman" w:hAnsi="Times New Roman"/>
          <w:sz w:val="22"/>
          <w:szCs w:val="22"/>
          <w:lang w:val="en-GB"/>
        </w:rPr>
        <w:t>Đorđe</w:t>
      </w:r>
      <w:r w:rsidRPr="003415AA">
        <w:rPr>
          <w:rFonts w:ascii="Times New Roman" w:hAnsi="Times New Roman"/>
          <w:sz w:val="22"/>
          <w:szCs w:val="22"/>
          <w:lang w:val="en-GB"/>
        </w:rPr>
        <w:t xml:space="preserve"> Joanović” Zrenjanin, </w:t>
      </w:r>
    </w:p>
    <w:p w:rsidR="003415AA" w:rsidRPr="003415AA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Dr Vase Savića 5, 23000 Zrenjanin Serbia</w:t>
      </w:r>
    </w:p>
    <w:p w:rsidR="00AB471B" w:rsidRPr="009B30FB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VAT number: 105539565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0C5416" w:rsidRPr="000C5416">
        <w:rPr>
          <w:rFonts w:ascii="Times New Roman" w:hAnsi="Times New Roman"/>
          <w:b/>
          <w:sz w:val="28"/>
          <w:lang w:val="en-GB"/>
        </w:rPr>
        <w:t>Promoting resilience of health systems and equal access to skin and liver care through RORS screening and treatment solutions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4035D6" w:rsidRPr="004035D6">
        <w:rPr>
          <w:rFonts w:ascii="Times New Roman" w:hAnsi="Times New Roman"/>
          <w:b/>
          <w:sz w:val="28"/>
          <w:lang w:val="en-GB"/>
        </w:rPr>
        <w:t>Medical Equipment</w:t>
      </w:r>
    </w:p>
    <w:p w:rsidR="004D2FD8" w:rsidRPr="004035D6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ED0C31" w:rsidRPr="00ED0C31">
        <w:rPr>
          <w:rFonts w:ascii="Times New Roman" w:hAnsi="Times New Roman"/>
          <w:sz w:val="22"/>
          <w:lang w:val="en-GB"/>
        </w:rPr>
        <w:t>RORS00307/GHZr/TD3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4D2FD8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E7036F" w:rsidRPr="001D5756">
        <w:rPr>
          <w:rFonts w:ascii="Times New Roman" w:hAnsi="Times New Roman"/>
          <w:sz w:val="22"/>
        </w:rPr>
        <w:t>the supply, delivery, siting and installation, commissioning and training</w:t>
      </w:r>
      <w:r w:rsidR="00E7036F">
        <w:rPr>
          <w:rFonts w:ascii="Times New Roman" w:hAnsi="Times New Roman"/>
          <w:sz w:val="22"/>
        </w:rPr>
        <w:t xml:space="preserve"> of users</w:t>
      </w:r>
      <w:r w:rsidR="00E7036F"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4D17E8" w:rsidRDefault="004D17E8" w:rsidP="004D17E8">
      <w:pPr>
        <w:ind w:left="567"/>
        <w:rPr>
          <w:rFonts w:ascii="Times New Roman" w:hAnsi="Times New Roman"/>
          <w:sz w:val="22"/>
        </w:rPr>
      </w:pPr>
      <w:r w:rsidRPr="00993BBD">
        <w:rPr>
          <w:rFonts w:ascii="Times New Roman" w:hAnsi="Times New Roman"/>
          <w:sz w:val="22"/>
        </w:rPr>
        <w:t>Medical Equipment</w:t>
      </w:r>
      <w:r>
        <w:rPr>
          <w:rFonts w:ascii="Times New Roman" w:hAnsi="Times New Roman"/>
          <w:sz w:val="22"/>
        </w:rPr>
        <w:t xml:space="preserve"> 1set consisting of:</w:t>
      </w:r>
    </w:p>
    <w:tbl>
      <w:tblPr>
        <w:tblStyle w:val="TableGrid"/>
        <w:tblW w:w="0" w:type="auto"/>
        <w:tblInd w:w="567" w:type="dxa"/>
        <w:tblLook w:val="04A0"/>
      </w:tblPr>
      <w:tblGrid>
        <w:gridCol w:w="817"/>
        <w:gridCol w:w="4807"/>
        <w:gridCol w:w="2812"/>
      </w:tblGrid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</w:t>
            </w:r>
          </w:p>
        </w:tc>
        <w:tc>
          <w:tcPr>
            <w:tcW w:w="480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Name of equipment</w:t>
            </w:r>
          </w:p>
        </w:tc>
        <w:tc>
          <w:tcPr>
            <w:tcW w:w="2812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Quantity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 xml:space="preserve">Colour Doppler Ultrasound system, high class with 3 ultrasound probes and thermal printer 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2 units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 xml:space="preserve">Portable Colour Doppler Ultrasound system, with 2 ultrasound probes and thermal printer 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Waterjet unit with equipment and accessories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Dermatoscope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Versatile advanced digital dermoscopy set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Microscope for Patho histology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Open instrument set for plastic surgery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Open instrument set for abdominal surgery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Laparoscopic instrument set for abdominal surgery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Automatic retractor for abdominal surgery thompson type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Electric dermatome full kit with manual dermatome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1 unit</w:t>
            </w:r>
          </w:p>
        </w:tc>
      </w:tr>
      <w:tr w:rsidR="00ED0C31" w:rsidTr="00ED0C31">
        <w:tc>
          <w:tcPr>
            <w:tcW w:w="817" w:type="dxa"/>
          </w:tcPr>
          <w:p w:rsidR="00ED0C31" w:rsidRDefault="00ED0C31" w:rsidP="004D17E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4807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Laparoscopic optics</w:t>
            </w:r>
          </w:p>
        </w:tc>
        <w:tc>
          <w:tcPr>
            <w:tcW w:w="2812" w:type="dxa"/>
          </w:tcPr>
          <w:p w:rsidR="00ED0C31" w:rsidRDefault="00ED0C31" w:rsidP="00ED0C31">
            <w:pPr>
              <w:rPr>
                <w:rFonts w:ascii="Times New Roman" w:hAnsi="Times New Roman"/>
                <w:sz w:val="22"/>
              </w:rPr>
            </w:pPr>
            <w:r w:rsidRPr="00ED0C31">
              <w:rPr>
                <w:rFonts w:ascii="Times New Roman" w:hAnsi="Times New Roman"/>
                <w:sz w:val="22"/>
              </w:rPr>
              <w:t>Quantity: 2 units</w:t>
            </w:r>
          </w:p>
        </w:tc>
      </w:tr>
    </w:tbl>
    <w:p w:rsidR="00E66170" w:rsidRDefault="00E66170" w:rsidP="00E66170">
      <w:pPr>
        <w:spacing w:before="0" w:after="0"/>
        <w:ind w:left="567"/>
        <w:rPr>
          <w:rFonts w:ascii="Times New Roman" w:hAnsi="Times New Roman"/>
          <w:sz w:val="22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3415AA" w:rsidRPr="003415AA">
        <w:rPr>
          <w:rFonts w:ascii="Times New Roman" w:hAnsi="Times New Roman"/>
          <w:sz w:val="22"/>
          <w:lang w:val="en-GB"/>
        </w:rPr>
        <w:t>General Hospital ”Djordje Joanović” Zrenjanin, Dr Vase Savića 5, 23000 Zrenjanin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415AA">
        <w:rPr>
          <w:rFonts w:ascii="Times New Roman" w:hAnsi="Times New Roman"/>
          <w:sz w:val="22"/>
          <w:lang w:val="en-GB"/>
        </w:rPr>
        <w:t>120</w:t>
      </w:r>
      <w:r w:rsidR="004035D6">
        <w:rPr>
          <w:rFonts w:ascii="Times New Roman" w:hAnsi="Times New Roman"/>
          <w:sz w:val="22"/>
          <w:lang w:val="en-GB"/>
        </w:rPr>
        <w:t xml:space="preserve"> days</w:t>
      </w:r>
      <w:r w:rsidR="00E7036F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EB4" w:rsidRDefault="00601EB4">
      <w:r>
        <w:separator/>
      </w:r>
    </w:p>
    <w:p w:rsidR="00601EB4" w:rsidRDefault="00601EB4"/>
  </w:endnote>
  <w:endnote w:type="continuationSeparator" w:id="1">
    <w:p w:rsidR="00601EB4" w:rsidRDefault="00601EB4">
      <w:r>
        <w:continuationSeparator/>
      </w:r>
    </w:p>
    <w:p w:rsidR="00601EB4" w:rsidRDefault="00601EB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06662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06662" w:rsidRPr="0076436E">
      <w:rPr>
        <w:rFonts w:ascii="Times New Roman" w:hAnsi="Times New Roman"/>
        <w:sz w:val="18"/>
        <w:szCs w:val="18"/>
      </w:rPr>
      <w:fldChar w:fldCharType="separate"/>
    </w:r>
    <w:r w:rsidR="000C5416">
      <w:rPr>
        <w:rFonts w:ascii="Times New Roman" w:hAnsi="Times New Roman"/>
        <w:noProof/>
        <w:sz w:val="18"/>
        <w:szCs w:val="18"/>
        <w:lang w:val="en-GB"/>
      </w:rPr>
      <w:t>4</w:t>
    </w:r>
    <w:r w:rsidR="00306662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06662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06662" w:rsidRPr="0076436E">
      <w:rPr>
        <w:rFonts w:ascii="Times New Roman" w:hAnsi="Times New Roman"/>
        <w:sz w:val="18"/>
        <w:szCs w:val="18"/>
      </w:rPr>
      <w:fldChar w:fldCharType="separate"/>
    </w:r>
    <w:r w:rsidR="000C5416">
      <w:rPr>
        <w:rFonts w:ascii="Times New Roman" w:hAnsi="Times New Roman"/>
        <w:noProof/>
        <w:sz w:val="18"/>
        <w:szCs w:val="18"/>
        <w:lang w:val="en-GB"/>
      </w:rPr>
      <w:t>4</w:t>
    </w:r>
    <w:r w:rsidR="00306662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06662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306662">
      <w:rPr>
        <w:sz w:val="16"/>
      </w:rPr>
      <w:fldChar w:fldCharType="begin"/>
    </w:r>
    <w:r>
      <w:rPr>
        <w:sz w:val="16"/>
      </w:rPr>
      <w:instrText xml:space="preserve"> PAGE </w:instrText>
    </w:r>
    <w:r w:rsidR="00306662">
      <w:rPr>
        <w:sz w:val="16"/>
      </w:rPr>
      <w:fldChar w:fldCharType="separate"/>
    </w:r>
    <w:r>
      <w:rPr>
        <w:noProof/>
        <w:sz w:val="16"/>
      </w:rPr>
      <w:t>59</w:t>
    </w:r>
    <w:r w:rsidR="00306662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EB4" w:rsidRDefault="00601EB4" w:rsidP="008056C4">
      <w:pPr>
        <w:spacing w:before="0" w:after="0"/>
      </w:pPr>
      <w:r>
        <w:separator/>
      </w:r>
    </w:p>
  </w:footnote>
  <w:footnote w:type="continuationSeparator" w:id="1">
    <w:p w:rsidR="00601EB4" w:rsidRDefault="00601EB4">
      <w:r>
        <w:continuationSeparator/>
      </w:r>
    </w:p>
    <w:p w:rsidR="00601EB4" w:rsidRDefault="00601EB4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="00E7036F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92093"/>
    <w:multiLevelType w:val="hybridMultilevel"/>
    <w:tmpl w:val="ABE0369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C541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09EF"/>
    <w:rsid w:val="002B6401"/>
    <w:rsid w:val="002C00DD"/>
    <w:rsid w:val="002C649A"/>
    <w:rsid w:val="002C6DD9"/>
    <w:rsid w:val="002D2FC0"/>
    <w:rsid w:val="002D47E8"/>
    <w:rsid w:val="002F1222"/>
    <w:rsid w:val="002F33C5"/>
    <w:rsid w:val="00306662"/>
    <w:rsid w:val="0031155D"/>
    <w:rsid w:val="00315611"/>
    <w:rsid w:val="00322263"/>
    <w:rsid w:val="00326BE0"/>
    <w:rsid w:val="00326FF1"/>
    <w:rsid w:val="003308C6"/>
    <w:rsid w:val="003409B8"/>
    <w:rsid w:val="003415AA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35D6"/>
    <w:rsid w:val="00420666"/>
    <w:rsid w:val="004300D4"/>
    <w:rsid w:val="004316F0"/>
    <w:rsid w:val="00432DF1"/>
    <w:rsid w:val="004554CB"/>
    <w:rsid w:val="00462120"/>
    <w:rsid w:val="00466C35"/>
    <w:rsid w:val="00467B76"/>
    <w:rsid w:val="004729AF"/>
    <w:rsid w:val="004775D2"/>
    <w:rsid w:val="00481845"/>
    <w:rsid w:val="00483E26"/>
    <w:rsid w:val="00484AB2"/>
    <w:rsid w:val="00486DD1"/>
    <w:rsid w:val="004963DB"/>
    <w:rsid w:val="00497BFC"/>
    <w:rsid w:val="004A45CC"/>
    <w:rsid w:val="004A7ED9"/>
    <w:rsid w:val="004B0424"/>
    <w:rsid w:val="004B740F"/>
    <w:rsid w:val="004C35B5"/>
    <w:rsid w:val="004D17E8"/>
    <w:rsid w:val="004D2FD8"/>
    <w:rsid w:val="004E14D4"/>
    <w:rsid w:val="004E5868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2498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01EB4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6B83"/>
    <w:rsid w:val="006E441D"/>
    <w:rsid w:val="006E56FD"/>
    <w:rsid w:val="006E6880"/>
    <w:rsid w:val="006F2CF3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0772"/>
    <w:rsid w:val="00792A1B"/>
    <w:rsid w:val="007A0D58"/>
    <w:rsid w:val="007A4C4D"/>
    <w:rsid w:val="007A7E2A"/>
    <w:rsid w:val="007B29D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0284"/>
    <w:rsid w:val="00811F58"/>
    <w:rsid w:val="00813732"/>
    <w:rsid w:val="00814BE9"/>
    <w:rsid w:val="008422D4"/>
    <w:rsid w:val="008517AF"/>
    <w:rsid w:val="00853F9D"/>
    <w:rsid w:val="0085667F"/>
    <w:rsid w:val="008617F3"/>
    <w:rsid w:val="00862142"/>
    <w:rsid w:val="00871DE3"/>
    <w:rsid w:val="008808CB"/>
    <w:rsid w:val="00883B63"/>
    <w:rsid w:val="008859E6"/>
    <w:rsid w:val="008A077E"/>
    <w:rsid w:val="008A39B7"/>
    <w:rsid w:val="008B1768"/>
    <w:rsid w:val="008B465B"/>
    <w:rsid w:val="008C1101"/>
    <w:rsid w:val="008C269C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884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143E8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1FB9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97759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2222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6C6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1B6E"/>
    <w:rsid w:val="00DC45BC"/>
    <w:rsid w:val="00DC50E2"/>
    <w:rsid w:val="00DC54A0"/>
    <w:rsid w:val="00DC6C9C"/>
    <w:rsid w:val="00DD0624"/>
    <w:rsid w:val="00DF687C"/>
    <w:rsid w:val="00DF70E2"/>
    <w:rsid w:val="00DF7327"/>
    <w:rsid w:val="00E01BC8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47B"/>
    <w:rsid w:val="00E62221"/>
    <w:rsid w:val="00E62923"/>
    <w:rsid w:val="00E66170"/>
    <w:rsid w:val="00E665B9"/>
    <w:rsid w:val="00E7036F"/>
    <w:rsid w:val="00E730A5"/>
    <w:rsid w:val="00E77C3D"/>
    <w:rsid w:val="00E811F3"/>
    <w:rsid w:val="00E85F91"/>
    <w:rsid w:val="00E8632B"/>
    <w:rsid w:val="00E90EDC"/>
    <w:rsid w:val="00E916B1"/>
    <w:rsid w:val="00EC057A"/>
    <w:rsid w:val="00ED0C31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0D7"/>
    <w:rsid w:val="00F56D4C"/>
    <w:rsid w:val="00F62D9B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B7366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645</Words>
  <Characters>3678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2025-12-22T19:29:00Z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